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rtl w:val="0"/>
        </w:rPr>
        <w:t xml:space="preserve">Bionet Plus, s. r. o. , 1. Máje 57, 281 63 KOZOJEDY  IČO: 24308269 DIČ: CZ24308269</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BIONET PLUS, S. R. 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